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+MyriadPro*00" w:hAnsi="Times New Roman" w:cs="Times New Roman"/>
          <w:sz w:val="52"/>
          <w:szCs w:val="52"/>
          <w:lang w:val="en-GB"/>
        </w:rPr>
      </w:pPr>
      <w:r w:rsidRPr="00B10C33">
        <w:rPr>
          <w:rFonts w:ascii="Times New Roman" w:eastAsia="ATC-*E-GothamRound+MyriadPro*00" w:hAnsi="Times New Roman" w:cs="Times New Roman"/>
          <w:sz w:val="52"/>
          <w:szCs w:val="52"/>
          <w:lang w:val="en-GB"/>
        </w:rPr>
        <w:t>Interim consolidated income statement</w:t>
      </w: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hAnsi="Times New Roman" w:cs="Times New Roman"/>
        </w:rPr>
      </w:pPr>
      <w:r w:rsidRPr="00B10C33">
        <w:rPr>
          <w:rFonts w:ascii="Times New Roman" w:eastAsia="ATC-*E-GothamRound+MyriadPro*00" w:hAnsi="Times New Roman" w:cs="Times New Roman"/>
          <w:sz w:val="20"/>
          <w:szCs w:val="20"/>
          <w:lang w:val="en-GB"/>
        </w:rPr>
        <w:t>For the six months ended 30 June 2011</w:t>
      </w:r>
    </w:p>
    <w:p w:rsidR="00FE462D" w:rsidRPr="00B10C33" w:rsidRDefault="00FE462D" w:rsidP="00FE462D">
      <w:pPr>
        <w:pStyle w:val="a5"/>
        <w:tabs>
          <w:tab w:val="left" w:pos="1701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6"/>
        <w:gridCol w:w="850"/>
        <w:gridCol w:w="1815"/>
        <w:gridCol w:w="1814"/>
      </w:tblGrid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For the six months ended 30 June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Notes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>2011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2010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(in RMB million)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>(Unaudited)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(Unaudited)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Gross written premiums and policy fees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116,080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85,079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Less: Premiums ceded to reinsurers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(5,857)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(4,542)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Net written premiums and policy fees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110,223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80,537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Change in unearned premium reserves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(6,824)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(5,952)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Net earned premiums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103,399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74,585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Reinsurance commission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1,622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1,337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Interest income of banking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6,331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4,371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Fees and commission income of non-insurance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3,462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2,492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Investment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15,912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10,909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Default="00FE462D" w:rsidP="007776E0">
            <w:pPr>
              <w:pStyle w:val="50ETableText"/>
              <w:rPr>
                <w:rFonts w:ascii="Times New Roman" w:eastAsia="PMingLiU" w:hAnsi="Times New Roman" w:cs="Times New Roman" w:hint="eastAsia"/>
              </w:rPr>
            </w:pPr>
            <w:r w:rsidRPr="00B10C33">
              <w:rPr>
                <w:rFonts w:ascii="Times New Roman" w:hAnsi="Times New Roman" w:cs="Times New Roman"/>
              </w:rPr>
              <w:t xml:space="preserve">Share of profits and losses of associates and </w:t>
            </w:r>
          </w:p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Cambria Math" w:hAnsi="Cambria Math" w:cs="Cambria Math"/>
              </w:rPr>
              <w:t> </w:t>
            </w:r>
            <w:r w:rsidRPr="00B10C33">
              <w:rPr>
                <w:rFonts w:ascii="Times New Roman" w:hAnsi="Times New Roman" w:cs="Times New Roman"/>
              </w:rPr>
              <w:t>jointly controlled entities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1,159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282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Other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1,925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3,004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Times New Roman" w:hAnsi="Times New Roman" w:cs="Times New Roman"/>
                <w:b/>
              </w:rPr>
              <w:t>Total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133,810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96,980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Claims and policyholders’ benefits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(83,372)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(56,394)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Commission expenses of insurance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(9,388)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(7,663)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Interest expenses of banking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(2,783)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(1,585)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Fees and commission expenses of non-insurance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(368)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(228)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Loan loss provisions, net of reversals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(261)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(110)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Foreign exchange losses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(149)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(28)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General and administrative expenses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(19,160)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(15,611)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Finance costs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(448)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(391)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Other expenses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(1,615)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(2,762)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Times New Roman" w:hAnsi="Times New Roman" w:cs="Times New Roman"/>
                <w:b/>
              </w:rPr>
              <w:t>Total expenses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(117,544)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(84,772)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Profit before tax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16,266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12,208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Income tax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(3,268)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(2,342)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Times New Roman" w:hAnsi="Times New Roman" w:cs="Times New Roman"/>
                <w:b/>
              </w:rPr>
              <w:t>Profit for the period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12,998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9,866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910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Times New Roman" w:hAnsi="Times New Roman" w:cs="Times New Roman"/>
                <w:b/>
              </w:rPr>
              <w:t>Attributable to: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Cambria Math" w:hAnsi="Cambria Math" w:cs="Cambria Math"/>
              </w:rPr>
              <w:t> </w:t>
            </w:r>
            <w:r w:rsidRPr="00B10C33">
              <w:rPr>
                <w:rFonts w:ascii="Times New Roman" w:hAnsi="Times New Roman" w:cs="Times New Roman"/>
              </w:rPr>
              <w:t>– Owners of the parent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12,757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9,611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Fonts w:ascii="Cambria Math" w:hAnsi="Cambria Math" w:cs="Cambria Math"/>
              </w:rPr>
              <w:t> </w:t>
            </w:r>
            <w:r w:rsidRPr="00B10C33">
              <w:rPr>
                <w:rFonts w:ascii="Times New Roman" w:hAnsi="Times New Roman" w:cs="Times New Roman"/>
              </w:rPr>
              <w:t>– Non-controlling interests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241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255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12,998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9,866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9910ptLine"/>
              <w:tabs>
                <w:tab w:val="clear" w:pos="283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tabs>
                <w:tab w:val="clear" w:pos="283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RMB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19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RMB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Style w:val="EBold"/>
                <w:rFonts w:ascii="Times New Roman" w:eastAsia="PMingLiU" w:hAnsi="Times New Roman" w:cs="Times New Roman" w:hint="eastAsia"/>
                <w:b/>
              </w:rPr>
            </w:pPr>
            <w:r w:rsidRPr="006F545D">
              <w:rPr>
                <w:rStyle w:val="EBold"/>
                <w:rFonts w:ascii="Times New Roman" w:hAnsi="Times New Roman" w:cs="Times New Roman"/>
                <w:b/>
              </w:rPr>
              <w:t xml:space="preserve">Earnings per share attributable to ordinary </w:t>
            </w:r>
          </w:p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Cambria Math" w:hAnsi="Cambria Math" w:cs="Cambria Math"/>
                <w:b/>
              </w:rPr>
              <w:t> </w:t>
            </w:r>
            <w:r w:rsidRPr="006F545D">
              <w:rPr>
                <w:rStyle w:val="EBold"/>
                <w:rFonts w:ascii="Times New Roman" w:hAnsi="Times New Roman" w:cs="Times New Roman"/>
                <w:b/>
              </w:rPr>
              <w:t>equity holders of the parent: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tabs>
                <w:tab w:val="decimal" w:pos="1619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Cambria Math" w:hAnsi="Cambria Math" w:cs="Cambria Math"/>
                <w:b/>
              </w:rPr>
              <w:t> </w:t>
            </w:r>
            <w:r w:rsidRPr="006F545D">
              <w:rPr>
                <w:rStyle w:val="EBold"/>
                <w:rFonts w:ascii="Times New Roman" w:hAnsi="Times New Roman" w:cs="Times New Roman"/>
                <w:b/>
              </w:rPr>
              <w:t>– Basic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381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1.67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381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1.30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6F545D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6F545D">
              <w:rPr>
                <w:rStyle w:val="EBold"/>
                <w:rFonts w:ascii="Cambria Math" w:hAnsi="Cambria Math" w:cs="Cambria Math"/>
                <w:b/>
              </w:rPr>
              <w:t> </w:t>
            </w:r>
            <w:r w:rsidRPr="006F545D">
              <w:rPr>
                <w:rStyle w:val="EBold"/>
                <w:rFonts w:ascii="Times New Roman" w:hAnsi="Times New Roman" w:cs="Times New Roman"/>
                <w:b/>
              </w:rPr>
              <w:t>– Diluted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75443C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381"/>
              </w:tabs>
              <w:rPr>
                <w:rFonts w:ascii="Times New Roman" w:hAnsi="Times New Roman" w:cs="Times New Roman"/>
                <w:b/>
              </w:rPr>
            </w:pPr>
            <w:r w:rsidRPr="0075443C">
              <w:rPr>
                <w:rStyle w:val="EBold"/>
                <w:rFonts w:ascii="Times New Roman" w:hAnsi="Times New Roman" w:cs="Times New Roman"/>
                <w:b/>
              </w:rPr>
              <w:t>1.67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381"/>
              </w:tabs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>1.30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E462D" w:rsidRPr="00B10C33" w:rsidRDefault="00FE462D" w:rsidP="00FE462D">
      <w:pPr>
        <w:pStyle w:val="a5"/>
        <w:tabs>
          <w:tab w:val="left" w:pos="1701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p w:rsidR="00FE462D" w:rsidRPr="00B10C33" w:rsidRDefault="00FE462D" w:rsidP="00FE462D">
      <w:pPr>
        <w:pStyle w:val="a5"/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  <w:r w:rsidRPr="00B10C33">
        <w:rPr>
          <w:rFonts w:ascii="Times New Roman" w:eastAsia="ATC-*E-GothamRounded+MyriadPro*" w:hAnsi="Times New Roman" w:cs="Times New Roman"/>
          <w:sz w:val="18"/>
          <w:szCs w:val="18"/>
          <w:lang w:val="en-GB"/>
        </w:rPr>
        <w:t>Details of the interim dividend proposed for the period are disclosed in Note 15 to the financial statements.</w:t>
      </w: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4"/>
          <w:szCs w:val="14"/>
          <w:lang w:val="en-GB"/>
        </w:rPr>
      </w:pP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+MyriadPro*00" w:hAnsi="Times New Roman" w:cs="Times New Roman"/>
          <w:sz w:val="52"/>
          <w:szCs w:val="52"/>
          <w:lang w:val="en-GB"/>
        </w:rPr>
      </w:pPr>
      <w:r>
        <w:rPr>
          <w:rFonts w:ascii="Times New Roman" w:eastAsia="ATC-*E-GothamRound+MyriadPro*00" w:hAnsi="Times New Roman" w:cs="Times New Roman"/>
          <w:sz w:val="52"/>
          <w:szCs w:val="52"/>
          <w:lang w:val="en-GB"/>
        </w:rPr>
        <w:br w:type="page"/>
      </w:r>
      <w:r w:rsidRPr="00B10C33">
        <w:rPr>
          <w:rFonts w:ascii="Times New Roman" w:eastAsia="ATC-*E-GothamRound+MyriadPro*00" w:hAnsi="Times New Roman" w:cs="Times New Roman"/>
          <w:sz w:val="52"/>
          <w:szCs w:val="52"/>
          <w:lang w:val="en-GB"/>
        </w:rPr>
        <w:lastRenderedPageBreak/>
        <w:t>Interim consolidated statement of comprehensive income</w:t>
      </w: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hAnsi="Times New Roman" w:cs="Times New Roman"/>
        </w:rPr>
      </w:pPr>
      <w:r w:rsidRPr="00B10C33">
        <w:rPr>
          <w:rFonts w:ascii="Times New Roman" w:eastAsia="ATC-*E-GothamRound+MyriadPro*00" w:hAnsi="Times New Roman" w:cs="Times New Roman"/>
          <w:sz w:val="20"/>
          <w:szCs w:val="20"/>
          <w:lang w:val="en-GB"/>
        </w:rPr>
        <w:t>For the six months ended 30 June 2011</w:t>
      </w:r>
    </w:p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6"/>
        <w:gridCol w:w="850"/>
        <w:gridCol w:w="1815"/>
        <w:gridCol w:w="1814"/>
      </w:tblGrid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For the six months ended 30 June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Note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>2011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2010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(in RMB million)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>(Unaudited)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49ETableHead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(Unaudited)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Profit for the period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12,998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9,866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Other comprehensive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a5"/>
              <w:tabs>
                <w:tab w:val="decimal" w:pos="1623"/>
              </w:tabs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tabs>
                <w:tab w:val="decimal" w:pos="1623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Available-for-sale financial assets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(6,002)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(5,561)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Shadow accounting adjustments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1,326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1,468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Exchange differences on translation of foreign operations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25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Share of other comprehensive income of associates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(42)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–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Income tax relating to components of other comprehensive income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1,122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829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Other comprehensive income for the period, net of tax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jc w:val="center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(3,545)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(3,239)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804ptLine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Total comprehensive income for the period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9,453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6,627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910ptLine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910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Attributable to: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a5"/>
              <w:tabs>
                <w:tab w:val="decimal" w:pos="1623"/>
              </w:tabs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tabs>
                <w:tab w:val="decimal" w:pos="1623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Cambria Math" w:hAnsi="Cambria Math" w:cs="Cambria Math"/>
              </w:rPr>
              <w:t> </w:t>
            </w:r>
            <w:r w:rsidRPr="00B10C33">
              <w:rPr>
                <w:rStyle w:val="ERegular"/>
                <w:rFonts w:ascii="Times New Roman" w:hAnsi="Times New Roman" w:cs="Times New Roman"/>
              </w:rPr>
              <w:t>– Owners of the parent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9,228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6,398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Cambria Math" w:hAnsi="Cambria Math" w:cs="Cambria Math"/>
              </w:rPr>
              <w:t> </w:t>
            </w:r>
            <w:r w:rsidRPr="00B10C33">
              <w:rPr>
                <w:rStyle w:val="ERegular"/>
                <w:rFonts w:ascii="Times New Roman" w:hAnsi="Times New Roman" w:cs="Times New Roman"/>
              </w:rPr>
              <w:t>– Non-controlling interests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229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804ptLine"/>
              <w:tabs>
                <w:tab w:val="clear" w:pos="283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090150" w:rsidRDefault="00FE462D" w:rsidP="007776E0">
            <w:pPr>
              <w:pStyle w:val="a5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C11EC5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  <w:b/>
              </w:rPr>
            </w:pPr>
            <w:r w:rsidRPr="00C11EC5">
              <w:rPr>
                <w:rStyle w:val="EBold"/>
                <w:rFonts w:ascii="Times New Roman" w:hAnsi="Times New Roman" w:cs="Times New Roman"/>
                <w:b/>
              </w:rPr>
              <w:t>9,453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50ETableText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decimal" w:pos="1623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>6,627</w:t>
            </w:r>
          </w:p>
        </w:tc>
      </w:tr>
      <w:tr w:rsidR="00FE462D" w:rsidRPr="00090150" w:rsidTr="0077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jc w:val="right"/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tabs>
                <w:tab w:val="clear" w:pos="283"/>
                <w:tab w:val="left" w:pos="1701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Bold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62D" w:rsidRPr="00B10C33" w:rsidRDefault="00FE462D" w:rsidP="007776E0">
            <w:pPr>
              <w:pStyle w:val="9910ptLine"/>
              <w:tabs>
                <w:tab w:val="clear" w:pos="283"/>
                <w:tab w:val="left" w:pos="1701"/>
              </w:tabs>
              <w:rPr>
                <w:rFonts w:ascii="Times New Roman" w:hAnsi="Times New Roman" w:cs="Times New Roman"/>
              </w:rPr>
            </w:pPr>
            <w:r w:rsidRPr="00B10C33">
              <w:rPr>
                <w:rStyle w:val="ERegular"/>
                <w:rFonts w:ascii="Times New Roman" w:hAnsi="Times New Roman" w:cs="Times New Roman"/>
              </w:rPr>
              <w:t xml:space="preserve"> </w:t>
            </w:r>
          </w:p>
        </w:tc>
      </w:tr>
    </w:tbl>
    <w:p w:rsidR="00FE462D" w:rsidRPr="00B10C33" w:rsidRDefault="00FE462D" w:rsidP="00FE462D">
      <w:pPr>
        <w:pStyle w:val="a5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  <w:tab w:val="left" w:pos="7710"/>
        </w:tabs>
        <w:suppressAutoHyphens/>
        <w:spacing w:line="240" w:lineRule="auto"/>
        <w:rPr>
          <w:rFonts w:ascii="Times New Roman" w:eastAsia="ATC-*E-GothamRounded+MyriadPro*" w:hAnsi="Times New Roman" w:cs="Times New Roman"/>
          <w:sz w:val="18"/>
          <w:szCs w:val="18"/>
          <w:lang w:val="en-GB"/>
        </w:rPr>
      </w:pPr>
    </w:p>
    <w:p w:rsidR="00160B1E" w:rsidRDefault="00FE462D" w:rsidP="00FE462D">
      <w:r>
        <w:rPr>
          <w:rFonts w:ascii="Times New Roman" w:eastAsia="ATC-*E-GothamRound+MyriadPro*00" w:hAnsi="Times New Roman"/>
          <w:sz w:val="52"/>
          <w:szCs w:val="52"/>
          <w:lang w:val="en-GB"/>
        </w:rPr>
        <w:br w:type="page"/>
      </w:r>
    </w:p>
    <w:sectPr w:rsidR="00160B1E" w:rsidSect="00FE462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06" w:rsidRDefault="00A71D06" w:rsidP="00FE462D">
      <w:r>
        <w:separator/>
      </w:r>
    </w:p>
  </w:endnote>
  <w:endnote w:type="continuationSeparator" w:id="0">
    <w:p w:rsidR="00A71D06" w:rsidRDefault="00A71D06" w:rsidP="00FE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C-*E-GothamRounded+MyriadPro*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TC-*E-GothamRound+MyriadPro*00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06" w:rsidRDefault="00A71D06" w:rsidP="00FE462D">
      <w:r>
        <w:separator/>
      </w:r>
    </w:p>
  </w:footnote>
  <w:footnote w:type="continuationSeparator" w:id="0">
    <w:p w:rsidR="00A71D06" w:rsidRDefault="00A71D06" w:rsidP="00FE4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2D"/>
    <w:rsid w:val="00160B1E"/>
    <w:rsid w:val="00A71D06"/>
    <w:rsid w:val="00FE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2D"/>
    <w:pPr>
      <w:widowControl w:val="0"/>
    </w:pPr>
    <w:rPr>
      <w:rFonts w:ascii="Calibri" w:eastAsia="PMingLiU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FE46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6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FE462D"/>
    <w:rPr>
      <w:sz w:val="18"/>
      <w:szCs w:val="18"/>
    </w:rPr>
  </w:style>
  <w:style w:type="paragraph" w:customStyle="1" w:styleId="a5">
    <w:name w:val="[無段落樣式]"/>
    <w:rsid w:val="00FE46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Regular" w:eastAsia="PMingLiU" w:hAnsi="Times Regular" w:cs="Times Regular"/>
      <w:color w:val="000000"/>
      <w:kern w:val="0"/>
      <w:sz w:val="24"/>
      <w:szCs w:val="24"/>
      <w:lang w:eastAsia="zh-TW"/>
    </w:rPr>
  </w:style>
  <w:style w:type="paragraph" w:customStyle="1" w:styleId="50ETableText">
    <w:name w:val="50 E_Table Text"/>
    <w:basedOn w:val="a"/>
    <w:uiPriority w:val="99"/>
    <w:rsid w:val="00FE462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</w:tabs>
      <w:suppressAutoHyphens/>
      <w:autoSpaceDE w:val="0"/>
      <w:autoSpaceDN w:val="0"/>
      <w:adjustRightInd w:val="0"/>
      <w:spacing w:line="220" w:lineRule="atLeast"/>
      <w:textAlignment w:val="baseline"/>
    </w:pPr>
    <w:rPr>
      <w:rFonts w:ascii="ATC-*E-GothamRounded+MyriadPro*" w:eastAsia="ATC-*E-GothamRounded+MyriadPro*" w:hAnsi="Times Regular" w:cs="ATC-*E-GothamRounded+MyriadPro*"/>
      <w:color w:val="000000"/>
      <w:kern w:val="0"/>
      <w:sz w:val="18"/>
      <w:szCs w:val="18"/>
      <w:lang w:val="en-GB"/>
    </w:rPr>
  </w:style>
  <w:style w:type="paragraph" w:customStyle="1" w:styleId="9804ptLine">
    <w:name w:val="98 0.4pt Line"/>
    <w:basedOn w:val="a"/>
    <w:uiPriority w:val="99"/>
    <w:rsid w:val="00FE462D"/>
    <w:pPr>
      <w:pBdr>
        <w:top w:val="single" w:sz="3" w:space="0" w:color="000000"/>
      </w:pBdr>
      <w:tabs>
        <w:tab w:val="left" w:pos="283"/>
      </w:tabs>
      <w:suppressAutoHyphens/>
      <w:autoSpaceDE w:val="0"/>
      <w:autoSpaceDN w:val="0"/>
      <w:adjustRightInd w:val="0"/>
      <w:spacing w:line="120" w:lineRule="atLeast"/>
      <w:textAlignment w:val="baseline"/>
    </w:pPr>
    <w:rPr>
      <w:rFonts w:ascii="ATC-*E-GothamRounded+MyriadPro*" w:eastAsia="ATC-*E-GothamRounded+MyriadPro*" w:hAnsi="Times Regular" w:cs="ATC-*E-GothamRounded+MyriadPro*"/>
      <w:color w:val="000000"/>
      <w:kern w:val="0"/>
      <w:sz w:val="2"/>
      <w:szCs w:val="2"/>
      <w:lang w:val="en-GB"/>
    </w:rPr>
  </w:style>
  <w:style w:type="paragraph" w:customStyle="1" w:styleId="9910ptLine">
    <w:name w:val="99 1.0pt Line"/>
    <w:basedOn w:val="9804ptLine"/>
    <w:uiPriority w:val="99"/>
    <w:rsid w:val="00FE462D"/>
  </w:style>
  <w:style w:type="paragraph" w:customStyle="1" w:styleId="49ETableHead">
    <w:name w:val="49 E_Table Head"/>
    <w:basedOn w:val="a"/>
    <w:uiPriority w:val="99"/>
    <w:rsid w:val="00FE462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</w:tabs>
      <w:suppressAutoHyphens/>
      <w:autoSpaceDE w:val="0"/>
      <w:autoSpaceDN w:val="0"/>
      <w:adjustRightInd w:val="0"/>
      <w:spacing w:line="170" w:lineRule="atLeast"/>
      <w:textAlignment w:val="baseline"/>
    </w:pPr>
    <w:rPr>
      <w:rFonts w:ascii="ATC-*E-GothamRounded+MyriadPro*" w:eastAsia="ATC-*E-GothamRounded+MyriadPro*" w:hAnsi="Times Regular" w:cs="ATC-*E-GothamRounded+MyriadPro*"/>
      <w:color w:val="000000"/>
      <w:kern w:val="0"/>
      <w:sz w:val="14"/>
      <w:szCs w:val="14"/>
      <w:lang w:val="en-GB"/>
    </w:rPr>
  </w:style>
  <w:style w:type="character" w:customStyle="1" w:styleId="EBold">
    <w:name w:val="E_Bold"/>
    <w:uiPriority w:val="99"/>
    <w:rsid w:val="00FE462D"/>
    <w:rPr>
      <w:rFonts w:ascii="ATC-*E-GothamRounded+MyriadPro*" w:eastAsia="ATC-*E-GothamRounded+MyriadPro*" w:cs="ATC-*E-GothamRounded+MyriadPro*"/>
    </w:rPr>
  </w:style>
  <w:style w:type="character" w:customStyle="1" w:styleId="ERegular">
    <w:name w:val="E_Regular"/>
    <w:uiPriority w:val="99"/>
    <w:rsid w:val="00FE462D"/>
    <w:rPr>
      <w:rFonts w:ascii="ATC-*E-GothamRounded+MyriadPro*" w:eastAsia="ATC-*E-GothamRounded+MyriadPro*" w:cs="ATC-*E-GothamRounded+MyriadPro*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</Words>
  <Characters>2295</Characters>
  <Application>Microsoft Office Word</Application>
  <DocSecurity>0</DocSecurity>
  <Lines>19</Lines>
  <Paragraphs>5</Paragraphs>
  <ScaleCrop>false</ScaleCrop>
  <Company>中国平安保险(集团)股份有限公司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GUOLISI001</dc:creator>
  <cp:keywords/>
  <dc:description/>
  <cp:lastModifiedBy>GUOLISI001</cp:lastModifiedBy>
  <cp:revision>2</cp:revision>
  <dcterms:created xsi:type="dcterms:W3CDTF">2011-09-19T06:34:00Z</dcterms:created>
  <dcterms:modified xsi:type="dcterms:W3CDTF">2011-09-19T06:34:00Z</dcterms:modified>
</cp:coreProperties>
</file>